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4343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4"/>
                <w:szCs w:val="24"/>
                <w:highlight w:val="white"/>
                <w:rtl w:val="0"/>
              </w:rPr>
              <w:t xml:space="preserve">INSIDE SALES REPRESENTATIVE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4"/>
                <w:szCs w:val="24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Inside Sales Representative at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responsible for managing and nurturing client relationships, generating sales through various communication channels, and contributing to the company's sales goals.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role requires a proactive approach to identifying new business opportunities, maintaining existing accounts, and ensuring customer satisfaction through excellent service.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9d9d9" w:val="clear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Overall Responsibilities: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and maintain strong relationships with current and prospective clients.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sales calls and presentations to potential clients via telephone or online platforms.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Understand and identify customer needs and requirements.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the team to develop sales strategies and initiatives.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abreast of the company's products, services, and industry trends.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 the internal sales pipeline and achieve the targets set by the sales manager.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Process sales orders, prepare quotes, and follow up on sales leads.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product information and support to customers.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accurate records of all sales activities and customer communications.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potential client files with all required information, including requests to cease communication.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closely with the sales and marketing teams to align sales strategies.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in the development of sales plans and the analysis of sales performance.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Handle customer inquiries and resolve issues promptly.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 in sales training and professional development opportunities.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 other related duties.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high school diploma or equivalent General Education Degree is required.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ears of experience in sales or a similar role, preferably in an administrative or customer-facing role is an asset.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Experience in the construction industry or another related field is an asset.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Proficiency in Microsoft Office software (Word, Excel, Outlook) and CRM software is preferred.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Experience with professional interactions by telephone, email, or other communications.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Proven track record of meeting or exceeding sales targets is an asset.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Knowledge of sales techniques and the ability to conduct negotiations is required.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communication skills, both verbal and written.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Driven and results-oriented with a positive attitude.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customer service and relationship-building skills.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multitask and manage time effectively.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Detail-oriented with strong problem-solving abilities.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Adaptable to a dynamic and fast-paced work environment.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organizational and time management skills.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work independently and as part of a team.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negotiation skills and presentation skills. 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weeks typically consist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 per day.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Office hours are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(Insert Hours).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and hours worked outside of the standard work schedule may be required.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Extended periods of sitting and working on a computer monitor and talking on the phone.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onsite/remote/hybrid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Calibri" w:cs="Calibri" w:eastAsia="Calibri" w:hAnsi="Calibri"/>
          <w:color w:val="0f0f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9tUmh6+AnHq2gV6ewPsttzFDsQ==">CgMxLjAyCGguZ2pkZ3hzOAByITEwUng3ZklnQ1JqNjYxc1FaNW1mWmswYUk0SlFvQWJpRg==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